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D45F" w14:textId="62850CEE" w:rsidR="00524388" w:rsidRDefault="008B4FED" w:rsidP="008B4FED">
      <w:pPr>
        <w:pStyle w:val="Heading1"/>
      </w:pPr>
      <w:r>
        <w:t>The Fed's 2025 Policy Impact: Why Real Estate is a Compelling Buy Now</w:t>
      </w:r>
    </w:p>
    <w:p w14:paraId="1405B122" w14:textId="77777777" w:rsidR="008B4FED" w:rsidRDefault="008B4FED"/>
    <w:p w14:paraId="5166CA22" w14:textId="30503292" w:rsidR="008B4FED" w:rsidRDefault="008B4FED" w:rsidP="008B4FED">
      <w:pPr>
        <w:pStyle w:val="NormalWeb"/>
      </w:pPr>
      <w:r>
        <w:fldChar w:fldCharType="begin"/>
      </w:r>
      <w:r>
        <w:instrText xml:space="preserve"> INCLUDEPICTURE "https://image-generator.ryrob.com/user/generated/article-writer/1750637188585.jpg" \* MERGEFORMATINET </w:instrText>
      </w:r>
      <w:r>
        <w:fldChar w:fldCharType="separate"/>
      </w:r>
      <w:r>
        <w:rPr>
          <w:noProof/>
        </w:rPr>
        <w:drawing>
          <wp:inline distT="0" distB="0" distL="0" distR="0" wp14:anchorId="27BD443B" wp14:editId="05412C61">
            <wp:extent cx="6675120" cy="3816350"/>
            <wp:effectExtent l="0" t="0" r="5080" b="6350"/>
            <wp:docPr id="1806995292" name="Picture 1" descr="The Fed's 2025 Policy Impact: Why Real Estate is a Compelling Buy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ed's 2025 Policy Impact: Why Real Estate is a Compelling Buy 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5120" cy="3816350"/>
                    </a:xfrm>
                    <a:prstGeom prst="rect">
                      <a:avLst/>
                    </a:prstGeom>
                    <a:noFill/>
                    <a:ln>
                      <a:noFill/>
                    </a:ln>
                  </pic:spPr>
                </pic:pic>
              </a:graphicData>
            </a:graphic>
          </wp:inline>
        </w:drawing>
      </w:r>
      <w:r>
        <w:fldChar w:fldCharType="end"/>
      </w:r>
    </w:p>
    <w:p w14:paraId="6913BBFF" w14:textId="77777777" w:rsidR="008B4FED" w:rsidRDefault="008B4FED" w:rsidP="008B4FED">
      <w:pPr>
        <w:pStyle w:val="NormalWeb"/>
      </w:pPr>
      <w:r>
        <w:t>In 2025, the decisions made by the Federal Reserve could shape your financial future more than ever. Their policies affect everything from your savings account to the house you want to buy. If you’ve been watching the markets, you’ll notice the recent shifts in interest rates, inflation, and economic outlooks. These changes open up new opportunities — especially in real estate. Understanding what the Fed is doing now can help you spot the best moments to buy property or invest.</w:t>
      </w:r>
    </w:p>
    <w:p w14:paraId="35200E16" w14:textId="77777777" w:rsidR="008B4FED" w:rsidRDefault="008B4FED" w:rsidP="008B4FED">
      <w:pPr>
        <w:pStyle w:val="Heading2"/>
      </w:pPr>
      <w:r>
        <w:t>Understanding the Federal Reserve's 2025 Monetary Policy Landscape</w:t>
      </w:r>
    </w:p>
    <w:p w14:paraId="29C943C6" w14:textId="77777777" w:rsidR="008B4FED" w:rsidRDefault="008B4FED" w:rsidP="008B4FED">
      <w:pPr>
        <w:pStyle w:val="Heading3"/>
      </w:pPr>
      <w:r>
        <w:t>The Federal Reserve's Policy Goals in 2025</w:t>
      </w:r>
    </w:p>
    <w:p w14:paraId="2939DE58" w14:textId="77777777" w:rsidR="008B4FED" w:rsidRDefault="008B4FED" w:rsidP="008B4FED">
      <w:pPr>
        <w:pStyle w:val="NormalWeb"/>
      </w:pPr>
      <w:r>
        <w:t>The Fed’s main goals stay the same: keep inflation under control, promote full employment, and support steady growth. In 2025, their focus on controlling inflation influences every rate decision. If inflation jumps, interest rates tend to go up. When employment remains strong, the Fed is more confident in holding rates steady or lowering them to support growth. These goals impact the entire economy — especially when it comes to borrowing and investing.</w:t>
      </w:r>
    </w:p>
    <w:p w14:paraId="2C13A086" w14:textId="77777777" w:rsidR="008B4FED" w:rsidRDefault="008B4FED" w:rsidP="008B4FED">
      <w:pPr>
        <w:pStyle w:val="Heading3"/>
      </w:pPr>
      <w:r>
        <w:lastRenderedPageBreak/>
        <w:t>Key Policy Actions in 2025</w:t>
      </w:r>
    </w:p>
    <w:p w14:paraId="08020442" w14:textId="77777777" w:rsidR="008B4FED" w:rsidRDefault="008B4FED" w:rsidP="008B4FED">
      <w:pPr>
        <w:pStyle w:val="NormalWeb"/>
      </w:pPr>
      <w:r>
        <w:t>Throughout 2025, the Fed’s actions have seen some interesting shifts. Early in the year, they paused rate hikes to see how the economy would react. Later, they might have cut rates to boost growth, especially if signs of slowdown appeared. Quantitative easing measures—like buying bonds—helped keep borrowing costs down, making it easier for consumers and businesses to access money. The Fed also communicated clearly about their plans, giving markets and investors clues on what’s next.</w:t>
      </w:r>
    </w:p>
    <w:p w14:paraId="506A07B5" w14:textId="77777777" w:rsidR="008B4FED" w:rsidRDefault="008B4FED" w:rsidP="008B4FED">
      <w:pPr>
        <w:pStyle w:val="Heading3"/>
      </w:pPr>
      <w:r>
        <w:t>Implications for the Broader Economy</w:t>
      </w:r>
    </w:p>
    <w:p w14:paraId="0EB67948" w14:textId="77777777" w:rsidR="008B4FED" w:rsidRDefault="008B4FED" w:rsidP="008B4FED">
      <w:pPr>
        <w:pStyle w:val="NormalWeb"/>
      </w:pPr>
      <w:r>
        <w:t>Fed policies ripple out into all corners of the economy. When rates are low, consumers tend to spend more, pushing demand for homes and cars. Business investments grow, leading to more jobs and better economic stability. But if the Fed raises rates too quickly, borrowing becomes more expensive, slowing down growth. These shifts can either boost or weaken market confidence, impacting everything from stock prices to housing markets.</w:t>
      </w:r>
    </w:p>
    <w:p w14:paraId="0957806C" w14:textId="77777777" w:rsidR="008B4FED" w:rsidRDefault="008B4FED" w:rsidP="008B4FED">
      <w:pPr>
        <w:pStyle w:val="Heading2"/>
      </w:pPr>
      <w:r>
        <w:t>How Fed Policies Affect Mortgage Rates and Housing Affordability</w:t>
      </w:r>
    </w:p>
    <w:p w14:paraId="7CE66AB9" w14:textId="77777777" w:rsidR="008B4FED" w:rsidRDefault="008B4FED" w:rsidP="008B4FED">
      <w:pPr>
        <w:pStyle w:val="Heading3"/>
      </w:pPr>
      <w:r>
        <w:t>Trends in Mortgage Rates in 2025</w:t>
      </w:r>
    </w:p>
    <w:p w14:paraId="2E9943F4" w14:textId="77777777" w:rsidR="008B4FED" w:rsidRDefault="008B4FED" w:rsidP="008B4FED">
      <w:pPr>
        <w:pStyle w:val="NormalWeb"/>
      </w:pPr>
      <w:r>
        <w:t>Thanks to Fed decisions, mortgage rates have moved significantly in 2025. When rates pause or fall, monthly mortgage payments become more manageable. Borrowers enjoy lower costs — a huge help for first-time homebuyers or those refinancing existing loans. But when rates go back up, borrowing gets pricier. Comparing this year’s data to previous years, it’s clear that rate fluctuations are shaping how affordable homes are.</w:t>
      </w:r>
    </w:p>
    <w:p w14:paraId="48D0AE26" w14:textId="77777777" w:rsidR="008B4FED" w:rsidRDefault="008B4FED" w:rsidP="008B4FED">
      <w:pPr>
        <w:pStyle w:val="Heading3"/>
      </w:pPr>
      <w:r>
        <w:t>Impact on Home Prices and Market Dynamics</w:t>
      </w:r>
    </w:p>
    <w:p w14:paraId="08B5BEBA" w14:textId="77777777" w:rsidR="008B4FED" w:rsidRDefault="008B4FED" w:rsidP="008B4FED">
      <w:pPr>
        <w:pStyle w:val="NormalWeb"/>
      </w:pPr>
      <w:r>
        <w:t xml:space="preserve">Mortgage rates and home prices are closely linked. When borrowing costs are low, more people can afford homes, which pushes prices up. Conversely, rising rates slow the market, helping to moderate price increases. Some regional markets have already shown this trend, with prices stabilizing or even </w:t>
      </w:r>
      <w:proofErr w:type="spellStart"/>
      <w:r>
        <w:t>leveling</w:t>
      </w:r>
      <w:proofErr w:type="spellEnd"/>
      <w:r>
        <w:t xml:space="preserve"> off in areas where rates increased. That means buyers with cash or good credit may find value opportunities before the market shifts again.</w:t>
      </w:r>
    </w:p>
    <w:p w14:paraId="3F628DA8" w14:textId="77777777" w:rsidR="008B4FED" w:rsidRDefault="008B4FED" w:rsidP="008B4FED">
      <w:pPr>
        <w:pStyle w:val="Heading3"/>
      </w:pPr>
      <w:r>
        <w:t>Actionable Tips for Buyers and Investors</w:t>
      </w:r>
    </w:p>
    <w:p w14:paraId="42E146B0" w14:textId="77777777" w:rsidR="008B4FED" w:rsidRDefault="008B4FED" w:rsidP="008B4FED">
      <w:pPr>
        <w:pStyle w:val="NormalWeb"/>
      </w:pPr>
      <w:r>
        <w:t>Now’s a good time to lock in low mortgage rates before they jump again. If you’re considering buying, get pre-approved soon — it gives you a leg up in competitive markets. Timing matters; keep an eye on Fed signals about future rate moves. Being ready with your finances, including a solid credit score and down payment, can make all the difference. Acting early often translates to stronger negotiating power and better deals.</w:t>
      </w:r>
    </w:p>
    <w:p w14:paraId="5761B3EA" w14:textId="77777777" w:rsidR="008B4FED" w:rsidRDefault="008B4FED" w:rsidP="008B4FED">
      <w:pPr>
        <w:pStyle w:val="Heading2"/>
      </w:pPr>
      <w:r>
        <w:t>The Resilience of Real Estate Amid Inflation and Economic Fluctuations</w:t>
      </w:r>
    </w:p>
    <w:p w14:paraId="5A3FFA03" w14:textId="77777777" w:rsidR="008B4FED" w:rsidRDefault="008B4FED" w:rsidP="008B4FED">
      <w:pPr>
        <w:pStyle w:val="Heading3"/>
      </w:pPr>
      <w:r>
        <w:t>Real Estate as a Hedge Against Inflation</w:t>
      </w:r>
    </w:p>
    <w:p w14:paraId="63673568" w14:textId="77777777" w:rsidR="008B4FED" w:rsidRDefault="008B4FED" w:rsidP="008B4FED">
      <w:pPr>
        <w:pStyle w:val="NormalWeb"/>
      </w:pPr>
      <w:r>
        <w:t>Properties tend to keep pace with inflation. When prices rise, so do property values and rental incomes. This makes real estate a safe way to protect your money during inflationary periods. In recent years, this trend has proven true, with many areas seeing steady property appreciation even when other sectors struggle.</w:t>
      </w:r>
    </w:p>
    <w:p w14:paraId="0978BB57" w14:textId="77777777" w:rsidR="008B4FED" w:rsidRDefault="008B4FED" w:rsidP="008B4FED">
      <w:pPr>
        <w:pStyle w:val="Heading3"/>
      </w:pPr>
      <w:r>
        <w:t>Investor Confidence and Market Stability</w:t>
      </w:r>
    </w:p>
    <w:p w14:paraId="77B7A2F0" w14:textId="77777777" w:rsidR="008B4FED" w:rsidRDefault="008B4FED" w:rsidP="008B4FED">
      <w:pPr>
        <w:pStyle w:val="NormalWeb"/>
      </w:pPr>
      <w:r>
        <w:t>Despite economic ups and downs, many real estate markets stay solid. Experts point out that well-chosen properties or markets with high demand tend to weather storms better. Regions with growing jobs, quality schools, and good infrastructure often remain strong investments. This stability can give you confidence to buy, knowing your property can be a safe long-term asset.</w:t>
      </w:r>
    </w:p>
    <w:p w14:paraId="5AF2C314" w14:textId="77777777" w:rsidR="008B4FED" w:rsidRDefault="008B4FED" w:rsidP="008B4FED">
      <w:pPr>
        <w:pStyle w:val="Heading3"/>
      </w:pPr>
      <w:r>
        <w:t>Actionable Tips for Long-Term Investment</w:t>
      </w:r>
    </w:p>
    <w:p w14:paraId="2E32B3B4" w14:textId="77777777" w:rsidR="008B4FED" w:rsidRDefault="008B4FED" w:rsidP="008B4FED">
      <w:pPr>
        <w:pStyle w:val="NormalWeb"/>
      </w:pPr>
      <w:r>
        <w:t>Focus on areas with growth potential, like suburbs near new job hubs or regions with affordable land. Diversifying your real estate holdings across different markets reduces risk. Always do your homework — look at data, trends, and ask professionals for advice. Real estate is about patience and smart choices, especially in uncertain times.</w:t>
      </w:r>
    </w:p>
    <w:p w14:paraId="6A24C745" w14:textId="77777777" w:rsidR="008B4FED" w:rsidRDefault="008B4FED" w:rsidP="008B4FED">
      <w:pPr>
        <w:pStyle w:val="Heading2"/>
      </w:pPr>
      <w:r>
        <w:t>Opportunities in Different Real Estate Segments in 2025</w:t>
      </w:r>
    </w:p>
    <w:p w14:paraId="1FFD9BD4" w14:textId="77777777" w:rsidR="008B4FED" w:rsidRDefault="008B4FED" w:rsidP="008B4FED">
      <w:pPr>
        <w:pStyle w:val="Heading3"/>
      </w:pPr>
      <w:r>
        <w:t>Residential Real Estate</w:t>
      </w:r>
    </w:p>
    <w:p w14:paraId="5F4FCDDC" w14:textId="77777777" w:rsidR="008B4FED" w:rsidRDefault="008B4FED" w:rsidP="008B4FED">
      <w:pPr>
        <w:pStyle w:val="NormalWeb"/>
      </w:pPr>
      <w:r>
        <w:t>Single-family homes, condos, and affordable housing options are seeing promising growth. As remote work continues, people want homes with space and good amenities. Demographic shifts mean more first-time buyers entering the market. These factors create excellent buying opportunities, especially if you act quickly.</w:t>
      </w:r>
    </w:p>
    <w:p w14:paraId="13995375" w14:textId="77777777" w:rsidR="008B4FED" w:rsidRDefault="008B4FED" w:rsidP="008B4FED">
      <w:pPr>
        <w:pStyle w:val="Heading3"/>
      </w:pPr>
      <w:r>
        <w:t>Commercial Real Estate</w:t>
      </w:r>
    </w:p>
    <w:p w14:paraId="7C235D82" w14:textId="77777777" w:rsidR="008B4FED" w:rsidRDefault="008B4FED" w:rsidP="008B4FED">
      <w:pPr>
        <w:pStyle w:val="NormalWeb"/>
      </w:pPr>
      <w:r>
        <w:t xml:space="preserve">Industrial spaces such as warehouses and data </w:t>
      </w:r>
      <w:proofErr w:type="spellStart"/>
      <w:r>
        <w:t>centers</w:t>
      </w:r>
      <w:proofErr w:type="spellEnd"/>
      <w:r>
        <w:t xml:space="preserve"> are thriving, thanks to growing e-commerce and tech sectors. Logistics property especially benefits from increased online shopping demand. However, retail and traditional office spaces face challenges, as remote work remains popular. Still, some niches offer solid returns.</w:t>
      </w:r>
    </w:p>
    <w:p w14:paraId="73C7324B" w14:textId="77777777" w:rsidR="008B4FED" w:rsidRDefault="008B4FED" w:rsidP="008B4FED">
      <w:pPr>
        <w:pStyle w:val="Heading3"/>
      </w:pPr>
      <w:r>
        <w:t>Real Estate Investment Trusts (REITs)</w:t>
      </w:r>
    </w:p>
    <w:p w14:paraId="3BE16101" w14:textId="77777777" w:rsidR="008B4FED" w:rsidRDefault="008B4FED" w:rsidP="008B4FED">
      <w:pPr>
        <w:pStyle w:val="NormalWeb"/>
      </w:pPr>
      <w:r>
        <w:t>For those wanting a more flexible approach, REITs offer a way to invest in property without owning physical buildings. Certain sectors, like healthcare or e-commerce logistics, are showing resilience. REITs also provide steady dividends, making them appealing for diversified portfolios.</w:t>
      </w:r>
    </w:p>
    <w:p w14:paraId="505343A5" w14:textId="77777777" w:rsidR="008B4FED" w:rsidRDefault="008B4FED" w:rsidP="008B4FED">
      <w:pPr>
        <w:pStyle w:val="Heading2"/>
      </w:pPr>
      <w:proofErr w:type="gramStart"/>
      <w:r>
        <w:t>Future Outlook</w:t>
      </w:r>
      <w:proofErr w:type="gramEnd"/>
      <w:r>
        <w:t>: Why Now Is the Time to Act</w:t>
      </w:r>
    </w:p>
    <w:p w14:paraId="2556FA71" w14:textId="77777777" w:rsidR="008B4FED" w:rsidRDefault="008B4FED" w:rsidP="008B4FED">
      <w:pPr>
        <w:pStyle w:val="Heading3"/>
      </w:pPr>
      <w:r>
        <w:t>Anticipated Policy Developments</w:t>
      </w:r>
    </w:p>
    <w:p w14:paraId="14D2914D" w14:textId="77777777" w:rsidR="008B4FED" w:rsidRDefault="008B4FED" w:rsidP="008B4FED">
      <w:pPr>
        <w:pStyle w:val="NormalWeb"/>
      </w:pPr>
      <w:r>
        <w:t xml:space="preserve">Analysts predict the Fed might keep rates steady or cut them slightly in the near future to support growth. These mild moves could keep borrowing costs low for a while, </w:t>
      </w:r>
      <w:proofErr w:type="spellStart"/>
      <w:r>
        <w:t>favoring</w:t>
      </w:r>
      <w:proofErr w:type="spellEnd"/>
      <w:r>
        <w:t xml:space="preserve"> real estate buyers. Watching their signals can help you plan your entry or expand your holdings.</w:t>
      </w:r>
    </w:p>
    <w:p w14:paraId="6D1CFF0D" w14:textId="77777777" w:rsidR="008B4FED" w:rsidRDefault="008B4FED" w:rsidP="008B4FED">
      <w:pPr>
        <w:pStyle w:val="Heading3"/>
      </w:pPr>
      <w:r>
        <w:t>Long-Term Benefits of Investing in Real Estate Now</w:t>
      </w:r>
    </w:p>
    <w:p w14:paraId="0C718BE3" w14:textId="77777777" w:rsidR="008B4FED" w:rsidRDefault="008B4FED" w:rsidP="008B4FED">
      <w:pPr>
        <w:pStyle w:val="NormalWeb"/>
      </w:pPr>
      <w:r>
        <w:t>Buying now means building equity, setting up passive income, and diversifying your investments. Rates are relatively stable, and property values in many markets look promising. Smart investments today can provide financial security down the line.</w:t>
      </w:r>
    </w:p>
    <w:p w14:paraId="7B10482C" w14:textId="77777777" w:rsidR="008B4FED" w:rsidRDefault="008B4FED" w:rsidP="008B4FED">
      <w:pPr>
        <w:pStyle w:val="Heading3"/>
      </w:pPr>
      <w:r>
        <w:t>Actionable Tips for Immediate Engagement</w:t>
      </w:r>
    </w:p>
    <w:p w14:paraId="3AADAF7A" w14:textId="77777777" w:rsidR="008B4FED" w:rsidRDefault="008B4FED" w:rsidP="008B4FED">
      <w:pPr>
        <w:pStyle w:val="NormalWeb"/>
      </w:pPr>
      <w:r>
        <w:t>Start researching markets and properties now. Talk to real estate agents and financial advisors to understand your options. Check your credit score and financing options to be ready when opportunity strikes. The sooner you start, the better your chances for success.</w:t>
      </w:r>
    </w:p>
    <w:p w14:paraId="3431BFF3" w14:textId="77777777" w:rsidR="008B4FED" w:rsidRDefault="008B4FED" w:rsidP="008B4FED">
      <w:pPr>
        <w:pStyle w:val="Heading2"/>
      </w:pPr>
      <w:r>
        <w:t>Conclusion</w:t>
      </w:r>
    </w:p>
    <w:p w14:paraId="739DA4F1" w14:textId="77777777" w:rsidR="008B4FED" w:rsidRDefault="008B4FED" w:rsidP="008B4FED">
      <w:pPr>
        <w:pStyle w:val="NormalWeb"/>
      </w:pPr>
      <w:r>
        <w:t xml:space="preserve">The policies set by the Federal Reserve in 2025 create a rare window for real estate investors and buyers. With interest rates fluctuating but generally staying </w:t>
      </w:r>
      <w:proofErr w:type="spellStart"/>
      <w:r>
        <w:t>favorable</w:t>
      </w:r>
      <w:proofErr w:type="spellEnd"/>
      <w:r>
        <w:t>, this moment offers real opportunities. Being informed and prepared means you can make the most of current conditions. The time to act is now — for a future of steady growth, passive income, and long-term wealth.</w:t>
      </w:r>
    </w:p>
    <w:p w14:paraId="01CD9F53" w14:textId="77777777" w:rsidR="008B4FED" w:rsidRDefault="007A01CB" w:rsidP="008B4FED">
      <w:r>
        <w:rPr>
          <w:noProof/>
        </w:rPr>
        <w:pict w14:anchorId="22EF4CEC">
          <v:rect id="_x0000_i1025" alt="" style="width:451.3pt;height:.05pt;mso-width-percent:0;mso-height-percent:0;mso-width-percent:0;mso-height-percent:0" o:hralign="center" o:hrstd="t" o:hr="t" fillcolor="#a0a0a0" stroked="f"/>
        </w:pict>
      </w:r>
    </w:p>
    <w:p w14:paraId="1376A5D3" w14:textId="77777777" w:rsidR="008B4FED" w:rsidRDefault="008B4FED"/>
    <w:sectPr w:rsidR="008B4FED">
      <w:footerReference w:type="default" r:id="rId8"/>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665C3" w14:textId="77777777" w:rsidR="007A01CB" w:rsidRDefault="007A01CB">
      <w:pPr>
        <w:spacing w:after="0" w:line="240" w:lineRule="auto"/>
      </w:pPr>
      <w:r>
        <w:separator/>
      </w:r>
    </w:p>
  </w:endnote>
  <w:endnote w:type="continuationSeparator" w:id="0">
    <w:p w14:paraId="0E8C0CB3" w14:textId="77777777" w:rsidR="007A01CB" w:rsidRDefault="007A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52419"/>
      <w:docPartObj>
        <w:docPartGallery w:val="Page Numbers (Bottom of Page)"/>
        <w:docPartUnique/>
      </w:docPartObj>
    </w:sdtPr>
    <w:sdtEndPr>
      <w:rPr>
        <w:noProof/>
      </w:rPr>
    </w:sdtEndPr>
    <w:sdtContent>
      <w:p w14:paraId="3C5DF86D"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B048" w14:textId="77777777" w:rsidR="007A01CB" w:rsidRDefault="007A01CB">
      <w:pPr>
        <w:spacing w:after="0" w:line="240" w:lineRule="auto"/>
      </w:pPr>
      <w:r>
        <w:separator/>
      </w:r>
    </w:p>
  </w:footnote>
  <w:footnote w:type="continuationSeparator" w:id="0">
    <w:p w14:paraId="319797D7" w14:textId="77777777" w:rsidR="007A01CB" w:rsidRDefault="007A0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104740">
    <w:abstractNumId w:val="8"/>
  </w:num>
  <w:num w:numId="2" w16cid:durableId="2073312193">
    <w:abstractNumId w:val="8"/>
  </w:num>
  <w:num w:numId="3" w16cid:durableId="1583484746">
    <w:abstractNumId w:val="9"/>
  </w:num>
  <w:num w:numId="4" w16cid:durableId="665715883">
    <w:abstractNumId w:val="8"/>
    <w:lvlOverride w:ilvl="0">
      <w:lvl w:ilvl="0">
        <w:start w:val="1"/>
        <w:numFmt w:val="decimal"/>
        <w:lvlText w:val="%1."/>
        <w:lvlJc w:val="left"/>
        <w:pPr>
          <w:tabs>
            <w:tab w:val="num" w:pos="1080"/>
          </w:tabs>
          <w:ind w:left="1080" w:hanging="360"/>
        </w:pPr>
        <w:rPr>
          <w:rFonts w:hint="default"/>
        </w:rPr>
      </w:lvl>
    </w:lvlOverride>
  </w:num>
  <w:num w:numId="5" w16cid:durableId="1524321918">
    <w:abstractNumId w:val="10"/>
  </w:num>
  <w:num w:numId="6" w16cid:durableId="1361735817">
    <w:abstractNumId w:val="7"/>
  </w:num>
  <w:num w:numId="7" w16cid:durableId="659966775">
    <w:abstractNumId w:val="6"/>
  </w:num>
  <w:num w:numId="8" w16cid:durableId="1324048313">
    <w:abstractNumId w:val="5"/>
  </w:num>
  <w:num w:numId="9" w16cid:durableId="1117524648">
    <w:abstractNumId w:val="4"/>
  </w:num>
  <w:num w:numId="10" w16cid:durableId="2068800625">
    <w:abstractNumId w:val="3"/>
  </w:num>
  <w:num w:numId="11" w16cid:durableId="1209805288">
    <w:abstractNumId w:val="2"/>
  </w:num>
  <w:num w:numId="12" w16cid:durableId="125246355">
    <w:abstractNumId w:val="1"/>
  </w:num>
  <w:num w:numId="13" w16cid:durableId="1027609411">
    <w:abstractNumId w:val="0"/>
  </w:num>
  <w:num w:numId="14" w16cid:durableId="1701469387">
    <w:abstractNumId w:val="8"/>
    <w:lvlOverride w:ilvl="0">
      <w:startOverride w:val="1"/>
    </w:lvlOverride>
  </w:num>
  <w:num w:numId="15" w16cid:durableId="83457110">
    <w:abstractNumId w:val="8"/>
  </w:num>
  <w:num w:numId="16" w16cid:durableId="1415858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ED"/>
    <w:rsid w:val="000A66FD"/>
    <w:rsid w:val="003F31CF"/>
    <w:rsid w:val="00426E61"/>
    <w:rsid w:val="00524388"/>
    <w:rsid w:val="007A01CB"/>
    <w:rsid w:val="008B4FED"/>
    <w:rsid w:val="00BB58E9"/>
    <w:rsid w:val="00E73AC0"/>
    <w:rsid w:val="00F15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9817"/>
  <w15:chartTrackingRefBased/>
  <w15:docId w15:val="{9E394786-874D-E144-A4FF-FE8D3B02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2">
    <w:name w:val="heading 2"/>
    <w:basedOn w:val="Normal"/>
    <w:next w:val="Normal"/>
    <w:link w:val="Heading2Char"/>
    <w:uiPriority w:val="9"/>
    <w:semiHidden/>
    <w:unhideWhenUsed/>
    <w:qFormat/>
    <w:rsid w:val="008B4FED"/>
    <w:pPr>
      <w:keepNext/>
      <w:keepLines/>
      <w:spacing w:before="40" w:after="0"/>
      <w:outlineLvl w:val="1"/>
    </w:pPr>
    <w:rPr>
      <w:rFonts w:asciiTheme="majorHAnsi" w:eastAsiaTheme="majorEastAsia" w:hAnsiTheme="majorHAnsi" w:cstheme="majorBidi"/>
      <w:color w:val="BF5B00" w:themeColor="accent1" w:themeShade="BF"/>
      <w:sz w:val="26"/>
      <w:szCs w:val="26"/>
    </w:rPr>
  </w:style>
  <w:style w:type="paragraph" w:styleId="Heading3">
    <w:name w:val="heading 3"/>
    <w:basedOn w:val="Normal"/>
    <w:next w:val="Normal"/>
    <w:link w:val="Heading3Char"/>
    <w:uiPriority w:val="9"/>
    <w:semiHidden/>
    <w:unhideWhenUsed/>
    <w:qFormat/>
    <w:rsid w:val="008B4FED"/>
    <w:pPr>
      <w:keepNext/>
      <w:keepLines/>
      <w:spacing w:before="40" w:after="0"/>
      <w:outlineLvl w:val="2"/>
    </w:pPr>
    <w:rPr>
      <w:rFonts w:asciiTheme="majorHAnsi" w:eastAsiaTheme="majorEastAsia" w:hAnsiTheme="majorHAnsi" w:cstheme="majorBidi"/>
      <w:color w:val="7F3C00" w:themeColor="accent1" w:themeShade="7F"/>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sid w:val="008B4FED"/>
    <w:rPr>
      <w:rFonts w:asciiTheme="majorHAnsi" w:eastAsiaTheme="majorEastAsia" w:hAnsiTheme="majorHAnsi" w:cstheme="majorBidi"/>
      <w:color w:val="BF5B00" w:themeColor="accent1" w:themeShade="BF"/>
      <w:sz w:val="26"/>
      <w:szCs w:val="26"/>
    </w:rPr>
  </w:style>
  <w:style w:type="character" w:customStyle="1" w:styleId="Heading3Char">
    <w:name w:val="Heading 3 Char"/>
    <w:basedOn w:val="DefaultParagraphFont"/>
    <w:link w:val="Heading3"/>
    <w:uiPriority w:val="9"/>
    <w:semiHidden/>
    <w:rsid w:val="008B4FED"/>
    <w:rPr>
      <w:rFonts w:asciiTheme="majorHAnsi" w:eastAsiaTheme="majorEastAsia" w:hAnsiTheme="majorHAnsi" w:cstheme="majorBidi"/>
      <w:color w:val="7F3C00" w:themeColor="accent1" w:themeShade="7F"/>
    </w:rPr>
  </w:style>
  <w:style w:type="paragraph" w:styleId="NormalWeb">
    <w:name w:val="Normal (Web)"/>
    <w:basedOn w:val="Normal"/>
    <w:uiPriority w:val="99"/>
    <w:semiHidden/>
    <w:unhideWhenUsed/>
    <w:rsid w:val="008B4FED"/>
    <w:pPr>
      <w:spacing w:before="100" w:beforeAutospacing="1" w:after="100" w:afterAutospacing="1" w:line="240" w:lineRule="auto"/>
    </w:pPr>
    <w:rPr>
      <w:rFonts w:ascii="Times New Roman" w:eastAsia="Times New Roman" w:hAnsi="Times New Roman" w:cs="Times New Roman"/>
      <w:color w:val="auto"/>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8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dra/Library/Containers/com.microsoft.Word/Data/Library/Application%20Support/Microsoft/Office/16.0/DTS/en-IN%7bCAEC0E59-C292-7940-BF6B-4BD456B692EA%7d/%7bDA333A37-D2D7-084B-9ED3-3D65465551D6%7dtf10002069_mac.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Write a Journal.dotx</Template>
  <TotalTime>3</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Murthy</dc:creator>
  <cp:keywords/>
  <dc:description/>
  <cp:lastModifiedBy>Dr.Rudra Murthy</cp:lastModifiedBy>
  <cp:revision>1</cp:revision>
  <dcterms:created xsi:type="dcterms:W3CDTF">2025-06-23T01:03:00Z</dcterms:created>
  <dcterms:modified xsi:type="dcterms:W3CDTF">2025-06-23T01:06:00Z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